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CFCD7" w14:textId="77777777" w:rsidR="003B2D7F" w:rsidRDefault="003B2D7F" w:rsidP="003B2D7F">
      <w:pPr>
        <w:pStyle w:val="NormalWeb"/>
        <w:shd w:val="clear" w:color="auto" w:fill="FFFFFF"/>
        <w:spacing w:before="75" w:beforeAutospacing="0" w:after="75" w:afterAutospacing="0"/>
        <w:jc w:val="both"/>
        <w:rPr>
          <w:rFonts w:ascii="Lato" w:hAnsi="Lato"/>
          <w:color w:val="000000"/>
          <w:sz w:val="23"/>
          <w:szCs w:val="23"/>
        </w:rPr>
      </w:pPr>
      <w:r>
        <w:rPr>
          <w:rFonts w:ascii="Lato" w:hAnsi="Lato"/>
          <w:color w:val="000000"/>
          <w:sz w:val="23"/>
          <w:szCs w:val="23"/>
        </w:rPr>
        <w:t>Le </w:t>
      </w:r>
      <w:r>
        <w:rPr>
          <w:rFonts w:ascii="Lato" w:hAnsi="Lato"/>
          <w:color w:val="000000"/>
          <w:sz w:val="23"/>
          <w:szCs w:val="23"/>
          <w:u w:val="single"/>
        </w:rPr>
        <w:t>cuivre</w:t>
      </w:r>
      <w:r>
        <w:rPr>
          <w:rFonts w:ascii="Lato" w:hAnsi="Lato"/>
          <w:color w:val="000000"/>
          <w:sz w:val="23"/>
          <w:szCs w:val="23"/>
        </w:rPr>
        <w:t> évolue dans une fourchette étroite ces derniers jours, plusieurs facteurs se mélangeant, sans faire émerger de tendance nette : hausse des stocks, demande atone, affaiblissement du dollar…</w:t>
      </w:r>
    </w:p>
    <w:p w14:paraId="52ACA3B7" w14:textId="77777777" w:rsidR="003B2D7F" w:rsidRDefault="003B2D7F" w:rsidP="003B2D7F">
      <w:pPr>
        <w:pStyle w:val="NormalWeb"/>
        <w:shd w:val="clear" w:color="auto" w:fill="FFFFFF"/>
        <w:spacing w:before="75" w:beforeAutospacing="0" w:after="75" w:afterAutospacing="0"/>
        <w:jc w:val="both"/>
        <w:rPr>
          <w:rFonts w:ascii="Lato" w:hAnsi="Lato"/>
          <w:color w:val="000000"/>
          <w:sz w:val="23"/>
          <w:szCs w:val="23"/>
        </w:rPr>
      </w:pPr>
      <w:r>
        <w:rPr>
          <w:rFonts w:ascii="Lato" w:hAnsi="Lato"/>
          <w:color w:val="000000"/>
          <w:sz w:val="23"/>
          <w:szCs w:val="23"/>
        </w:rPr>
        <w:t>Le billet vert s’est contracté, rendant les métaux plus abordables pour les détenteurs d’autres devises. Le métal rouge est toutefois sous pression, avec d’un côté l’augmentation des stocks sur les principales places boursières, et de l’autre l’affaiblissement de la demande à l’approche des congés pour le Nouvel An lunaire.</w:t>
      </w:r>
    </w:p>
    <w:p w14:paraId="441174A1" w14:textId="77777777" w:rsidR="003B2D7F" w:rsidRDefault="003B2D7F" w:rsidP="003B2D7F">
      <w:pPr>
        <w:pStyle w:val="NormalWeb"/>
        <w:shd w:val="clear" w:color="auto" w:fill="FFFFFF"/>
        <w:spacing w:before="75" w:beforeAutospacing="0" w:after="75" w:afterAutospacing="0"/>
        <w:jc w:val="both"/>
        <w:rPr>
          <w:rFonts w:ascii="Lato" w:hAnsi="Lato"/>
          <w:color w:val="000000"/>
          <w:sz w:val="23"/>
          <w:szCs w:val="23"/>
        </w:rPr>
      </w:pPr>
      <w:r>
        <w:rPr>
          <w:rFonts w:ascii="Lato" w:hAnsi="Lato"/>
          <w:color w:val="000000"/>
          <w:sz w:val="23"/>
          <w:szCs w:val="23"/>
        </w:rPr>
        <w:t> « </w:t>
      </w:r>
      <w:r>
        <w:rPr>
          <w:rStyle w:val="Accentuation"/>
          <w:rFonts w:ascii="Lato" w:eastAsiaTheme="majorEastAsia" w:hAnsi="Lato"/>
          <w:color w:val="000000"/>
          <w:sz w:val="23"/>
          <w:szCs w:val="23"/>
        </w:rPr>
        <w:t>Malgré des contraintes d’approvisionnement persistantes et s’inscrivant sur le long terme, les cours du </w:t>
      </w:r>
      <w:r>
        <w:rPr>
          <w:rStyle w:val="Accentuation"/>
          <w:rFonts w:ascii="Lato" w:eastAsiaTheme="majorEastAsia" w:hAnsi="Lato"/>
          <w:color w:val="000000"/>
          <w:sz w:val="23"/>
          <w:szCs w:val="23"/>
          <w:u w:val="single"/>
        </w:rPr>
        <w:t>cuivre</w:t>
      </w:r>
      <w:r>
        <w:rPr>
          <w:rStyle w:val="Accentuation"/>
          <w:rFonts w:ascii="Lato" w:eastAsiaTheme="majorEastAsia" w:hAnsi="Lato"/>
          <w:color w:val="000000"/>
          <w:sz w:val="23"/>
          <w:szCs w:val="23"/>
        </w:rPr>
        <w:t> devraient continuer d’évoluer dans une fourchette étroite </w:t>
      </w:r>
      <w:r>
        <w:rPr>
          <w:rFonts w:ascii="Lato" w:hAnsi="Lato"/>
          <w:color w:val="000000"/>
          <w:sz w:val="23"/>
          <w:szCs w:val="23"/>
        </w:rPr>
        <w:t>», estiment les analystes de GF Futures. En Chine, la demande a ralenti, les acheteurs en aval ayant fini de se réapprovisionner avant les neuf jours de congés qui débuteront le 15 février et sont synonymes de ralentissement de l’activité économique. « </w:t>
      </w:r>
      <w:r>
        <w:rPr>
          <w:rStyle w:val="Accentuation"/>
          <w:rFonts w:ascii="Lato" w:eastAsiaTheme="majorEastAsia" w:hAnsi="Lato"/>
          <w:color w:val="000000"/>
          <w:sz w:val="23"/>
          <w:szCs w:val="23"/>
        </w:rPr>
        <w:t>Les sommets atteints par les cours récemment apparaissent comme de plus en plus déconnectés des fondamentaux, et plus particulièrement à mesure que des signes de ralentissement de la demande réelle deviennent plus apparents</w:t>
      </w:r>
      <w:r>
        <w:rPr>
          <w:rFonts w:ascii="Lato" w:hAnsi="Lato"/>
          <w:color w:val="000000"/>
          <w:sz w:val="23"/>
          <w:szCs w:val="23"/>
        </w:rPr>
        <w:t xml:space="preserve">, indiquent les analystes de Britannia Global </w:t>
      </w:r>
      <w:proofErr w:type="spellStart"/>
      <w:r>
        <w:rPr>
          <w:rFonts w:ascii="Lato" w:hAnsi="Lato"/>
          <w:color w:val="000000"/>
          <w:sz w:val="23"/>
          <w:szCs w:val="23"/>
        </w:rPr>
        <w:t>Markets</w:t>
      </w:r>
      <w:proofErr w:type="spellEnd"/>
      <w:r>
        <w:rPr>
          <w:rFonts w:ascii="Lato" w:hAnsi="Lato"/>
          <w:color w:val="000000"/>
          <w:sz w:val="23"/>
          <w:szCs w:val="23"/>
        </w:rPr>
        <w:t>. </w:t>
      </w:r>
      <w:r>
        <w:rPr>
          <w:rStyle w:val="Accentuation"/>
          <w:rFonts w:ascii="Lato" w:eastAsiaTheme="majorEastAsia" w:hAnsi="Lato"/>
          <w:color w:val="000000"/>
          <w:sz w:val="23"/>
          <w:szCs w:val="23"/>
        </w:rPr>
        <w:t>En Chine, les acheteurs de </w:t>
      </w:r>
      <w:r>
        <w:rPr>
          <w:rStyle w:val="Accentuation"/>
          <w:rFonts w:ascii="Lato" w:eastAsiaTheme="majorEastAsia" w:hAnsi="Lato"/>
          <w:color w:val="000000"/>
          <w:sz w:val="23"/>
          <w:szCs w:val="23"/>
          <w:u w:val="single"/>
        </w:rPr>
        <w:t>cuivre</w:t>
      </w:r>
      <w:r>
        <w:rPr>
          <w:rStyle w:val="Accentuation"/>
          <w:rFonts w:ascii="Lato" w:eastAsiaTheme="majorEastAsia" w:hAnsi="Lato"/>
          <w:color w:val="000000"/>
          <w:sz w:val="23"/>
          <w:szCs w:val="23"/>
        </w:rPr>
        <w:t> prolongent les fermetures liées au Nouvel an, et les fabricants ont réduit leurs achats spot en raison de la pression qui pèse sur leurs marges et du niveau élevé des stocks </w:t>
      </w:r>
      <w:r>
        <w:rPr>
          <w:rFonts w:ascii="Lato" w:hAnsi="Lato"/>
          <w:color w:val="000000"/>
          <w:sz w:val="23"/>
          <w:szCs w:val="23"/>
        </w:rPr>
        <w:t>».</w:t>
      </w:r>
    </w:p>
    <w:p w14:paraId="6CB41376" w14:textId="77777777" w:rsidR="003B2D7F" w:rsidRDefault="003B2D7F" w:rsidP="003B2D7F">
      <w:pPr>
        <w:pStyle w:val="NormalWeb"/>
        <w:shd w:val="clear" w:color="auto" w:fill="FFFFFF"/>
        <w:spacing w:before="75" w:beforeAutospacing="0" w:after="75" w:afterAutospacing="0"/>
        <w:jc w:val="both"/>
        <w:rPr>
          <w:rFonts w:ascii="Lato" w:hAnsi="Lato"/>
          <w:color w:val="000000"/>
          <w:sz w:val="23"/>
          <w:szCs w:val="23"/>
        </w:rPr>
      </w:pPr>
      <w:r>
        <w:rPr>
          <w:rFonts w:ascii="Lato" w:hAnsi="Lato"/>
          <w:color w:val="000000"/>
          <w:sz w:val="23"/>
          <w:szCs w:val="23"/>
        </w:rPr>
        <w:t xml:space="preserve">Les stocks de cuivre augmentent à l’échelle mondiale : 184.300 tonnes sur le LME vendredi, contre 137.225 tonnes début janvier, et 248.911 tonnes sur le </w:t>
      </w:r>
      <w:proofErr w:type="spellStart"/>
      <w:r>
        <w:rPr>
          <w:rFonts w:ascii="Lato" w:hAnsi="Lato"/>
          <w:color w:val="000000"/>
          <w:sz w:val="23"/>
          <w:szCs w:val="23"/>
        </w:rPr>
        <w:t>ShFE</w:t>
      </w:r>
      <w:proofErr w:type="spellEnd"/>
      <w:r>
        <w:rPr>
          <w:rFonts w:ascii="Lato" w:hAnsi="Lato"/>
          <w:color w:val="000000"/>
          <w:sz w:val="23"/>
          <w:szCs w:val="23"/>
        </w:rPr>
        <w:t xml:space="preserve"> vendredi, soit un pic de neuf semaines.</w:t>
      </w:r>
    </w:p>
    <w:p w14:paraId="535B80F0" w14:textId="77777777" w:rsidR="003B2D7F" w:rsidRDefault="003B2D7F" w:rsidP="003B2D7F">
      <w:pPr>
        <w:pStyle w:val="NormalWeb"/>
        <w:shd w:val="clear" w:color="auto" w:fill="FFFFFF"/>
        <w:spacing w:before="75" w:beforeAutospacing="0" w:after="75" w:afterAutospacing="0"/>
        <w:jc w:val="both"/>
        <w:rPr>
          <w:rFonts w:ascii="Lato" w:hAnsi="Lato"/>
          <w:color w:val="000000"/>
          <w:sz w:val="23"/>
          <w:szCs w:val="23"/>
        </w:rPr>
      </w:pPr>
      <w:r>
        <w:rPr>
          <w:rFonts w:ascii="Lato" w:hAnsi="Lato"/>
          <w:color w:val="000000"/>
          <w:sz w:val="23"/>
          <w:szCs w:val="23"/>
        </w:rPr>
        <w:t>En dehors de ces vents contraires passagers, le </w:t>
      </w:r>
      <w:r>
        <w:rPr>
          <w:rFonts w:ascii="Lato" w:hAnsi="Lato"/>
          <w:color w:val="000000"/>
          <w:sz w:val="23"/>
          <w:szCs w:val="23"/>
          <w:u w:val="single"/>
        </w:rPr>
        <w:t>cuivre</w:t>
      </w:r>
      <w:r>
        <w:rPr>
          <w:rFonts w:ascii="Lato" w:hAnsi="Lato"/>
          <w:color w:val="000000"/>
          <w:sz w:val="23"/>
          <w:szCs w:val="23"/>
        </w:rPr>
        <w:t> continue de bénéficier d'un soutien durable avec une demande dopée par la transition énergétique, l'industrie de défense et l'intelligence artificielle.</w:t>
      </w:r>
    </w:p>
    <w:p w14:paraId="786E66C1" w14:textId="77777777" w:rsidR="003B2D7F" w:rsidRDefault="003B2D7F" w:rsidP="003B2D7F">
      <w:pPr>
        <w:pStyle w:val="NormalWeb"/>
        <w:shd w:val="clear" w:color="auto" w:fill="FFFFFF"/>
        <w:spacing w:before="75" w:beforeAutospacing="0" w:after="75" w:afterAutospacing="0"/>
        <w:jc w:val="both"/>
        <w:rPr>
          <w:rFonts w:ascii="Lato" w:hAnsi="Lato"/>
          <w:color w:val="000000"/>
          <w:sz w:val="23"/>
          <w:szCs w:val="23"/>
        </w:rPr>
      </w:pPr>
      <w:r>
        <w:rPr>
          <w:rFonts w:ascii="Lato" w:hAnsi="Lato"/>
          <w:color w:val="000000"/>
          <w:sz w:val="23"/>
          <w:szCs w:val="23"/>
        </w:rPr>
        <w:t>« </w:t>
      </w:r>
      <w:r>
        <w:rPr>
          <w:rStyle w:val="Accentuation"/>
          <w:rFonts w:ascii="Lato" w:eastAsiaTheme="majorEastAsia" w:hAnsi="Lato"/>
          <w:color w:val="000000"/>
          <w:sz w:val="23"/>
          <w:szCs w:val="23"/>
        </w:rPr>
        <w:t>Les entreprises énergétiques chinoises responsables de l'extension du réseau, probablement les plus grands consommateurs de </w:t>
      </w:r>
      <w:r>
        <w:rPr>
          <w:rStyle w:val="Accentuation"/>
          <w:rFonts w:ascii="Lato" w:eastAsiaTheme="majorEastAsia" w:hAnsi="Lato"/>
          <w:color w:val="000000"/>
          <w:sz w:val="23"/>
          <w:szCs w:val="23"/>
          <w:u w:val="single"/>
        </w:rPr>
        <w:t>cuivre</w:t>
      </w:r>
      <w:r>
        <w:rPr>
          <w:rStyle w:val="Accentuation"/>
          <w:rFonts w:ascii="Lato" w:eastAsiaTheme="majorEastAsia" w:hAnsi="Lato"/>
          <w:color w:val="000000"/>
          <w:sz w:val="23"/>
          <w:szCs w:val="23"/>
        </w:rPr>
        <w:t>, ont annoncé avoir augmenté leurs investissements en capital en janvier de 35% par rapport à l'année précédente</w:t>
      </w:r>
      <w:r>
        <w:rPr>
          <w:rFonts w:ascii="Lato" w:hAnsi="Lato"/>
          <w:color w:val="000000"/>
          <w:sz w:val="23"/>
          <w:szCs w:val="23"/>
        </w:rPr>
        <w:t> », souligne Barbara Lambrecht de Commerzbank. De même, « </w:t>
      </w:r>
      <w:r>
        <w:rPr>
          <w:rStyle w:val="Accentuation"/>
          <w:rFonts w:ascii="Lato" w:eastAsiaTheme="majorEastAsia" w:hAnsi="Lato"/>
          <w:color w:val="000000"/>
          <w:sz w:val="23"/>
          <w:szCs w:val="23"/>
        </w:rPr>
        <w:t>le marché du </w:t>
      </w:r>
      <w:r>
        <w:rPr>
          <w:rStyle w:val="Accentuation"/>
          <w:rFonts w:ascii="Lato" w:eastAsiaTheme="majorEastAsia" w:hAnsi="Lato"/>
          <w:color w:val="000000"/>
          <w:sz w:val="23"/>
          <w:szCs w:val="23"/>
          <w:u w:val="single"/>
        </w:rPr>
        <w:t>cuivre</w:t>
      </w:r>
      <w:r>
        <w:rPr>
          <w:rStyle w:val="Accentuation"/>
          <w:rFonts w:ascii="Lato" w:eastAsiaTheme="majorEastAsia" w:hAnsi="Lato"/>
          <w:color w:val="000000"/>
          <w:sz w:val="23"/>
          <w:szCs w:val="23"/>
        </w:rPr>
        <w:t xml:space="preserve"> devrait rester en situation de </w:t>
      </w:r>
      <w:proofErr w:type="spellStart"/>
      <w:r>
        <w:rPr>
          <w:rStyle w:val="Accentuation"/>
          <w:rFonts w:ascii="Lato" w:eastAsiaTheme="majorEastAsia" w:hAnsi="Lato"/>
          <w:color w:val="000000"/>
          <w:sz w:val="23"/>
          <w:szCs w:val="23"/>
        </w:rPr>
        <w:t>sous-approvisionnement</w:t>
      </w:r>
      <w:proofErr w:type="spellEnd"/>
      <w:r>
        <w:rPr>
          <w:rStyle w:val="Accentuation"/>
          <w:rFonts w:ascii="Lato" w:eastAsiaTheme="majorEastAsia" w:hAnsi="Lato"/>
          <w:color w:val="000000"/>
          <w:sz w:val="23"/>
          <w:szCs w:val="23"/>
        </w:rPr>
        <w:t xml:space="preserve"> de 4 à 5 %, ce qui maintiendra les cours à un niveau élevé malgré un risque de repli à court terme, car les stocks augmentent mais sont inégalement répartis </w:t>
      </w:r>
      <w:r>
        <w:rPr>
          <w:rFonts w:ascii="Lato" w:hAnsi="Lato"/>
          <w:color w:val="000000"/>
          <w:sz w:val="23"/>
          <w:szCs w:val="23"/>
        </w:rPr>
        <w:t xml:space="preserve">», estiment pour leur part les analystes d’ANZ </w:t>
      </w:r>
      <w:proofErr w:type="spellStart"/>
      <w:r>
        <w:rPr>
          <w:rFonts w:ascii="Lato" w:hAnsi="Lato"/>
          <w:color w:val="000000"/>
          <w:sz w:val="23"/>
          <w:szCs w:val="23"/>
        </w:rPr>
        <w:t>Research</w:t>
      </w:r>
      <w:proofErr w:type="spellEnd"/>
      <w:r>
        <w:rPr>
          <w:rFonts w:ascii="Lato" w:hAnsi="Lato"/>
          <w:color w:val="000000"/>
          <w:sz w:val="23"/>
          <w:szCs w:val="23"/>
        </w:rPr>
        <w:t xml:space="preserve"> dans une note.</w:t>
      </w:r>
    </w:p>
    <w:p w14:paraId="3E68E5B6" w14:textId="77777777" w:rsidR="003B2D7F" w:rsidRDefault="003B2D7F" w:rsidP="003B2D7F">
      <w:pPr>
        <w:pStyle w:val="NormalWeb"/>
        <w:shd w:val="clear" w:color="auto" w:fill="FFFFFF"/>
        <w:spacing w:before="75" w:beforeAutospacing="0" w:after="75" w:afterAutospacing="0"/>
        <w:jc w:val="both"/>
        <w:rPr>
          <w:rFonts w:ascii="Lato" w:hAnsi="Lato"/>
          <w:color w:val="000000"/>
          <w:sz w:val="23"/>
          <w:szCs w:val="23"/>
        </w:rPr>
      </w:pPr>
      <w:r>
        <w:rPr>
          <w:rFonts w:ascii="Lato" w:hAnsi="Lato"/>
          <w:color w:val="000000"/>
          <w:sz w:val="23"/>
          <w:szCs w:val="23"/>
        </w:rPr>
        <w:t>A noter enfin que, la semaine dernière, un membre de l’Association chinoise de l’industrie des métaux non-ferreux a déclaré que le pays allait développer ses réserves stratégiques de </w:t>
      </w:r>
      <w:r>
        <w:rPr>
          <w:rFonts w:ascii="Lato" w:hAnsi="Lato"/>
          <w:color w:val="000000"/>
          <w:sz w:val="23"/>
          <w:szCs w:val="23"/>
          <w:u w:val="single"/>
        </w:rPr>
        <w:t>cuivre</w:t>
      </w:r>
      <w:r>
        <w:rPr>
          <w:rFonts w:ascii="Lato" w:hAnsi="Lato"/>
          <w:color w:val="000000"/>
          <w:sz w:val="23"/>
          <w:szCs w:val="23"/>
        </w:rPr>
        <w:t>. Le pays envisage également de créer un système de stockage commercial, géré par les entreprises publiques. Il va, en outre, étudier la possibilité d’ajouter les </w:t>
      </w:r>
      <w:r>
        <w:rPr>
          <w:rFonts w:ascii="Lato" w:hAnsi="Lato"/>
          <w:color w:val="000000"/>
          <w:sz w:val="23"/>
          <w:szCs w:val="23"/>
          <w:u w:val="single"/>
        </w:rPr>
        <w:t>concentrés de cuivre</w:t>
      </w:r>
      <w:r>
        <w:rPr>
          <w:rFonts w:ascii="Lato" w:hAnsi="Lato"/>
          <w:color w:val="000000"/>
          <w:sz w:val="23"/>
          <w:szCs w:val="23"/>
        </w:rPr>
        <w:t xml:space="preserve"> à ses réserves. </w:t>
      </w:r>
      <w:proofErr w:type="spellStart"/>
      <w:r>
        <w:rPr>
          <w:rFonts w:ascii="Lato" w:hAnsi="Lato"/>
          <w:color w:val="000000"/>
          <w:sz w:val="23"/>
          <w:szCs w:val="23"/>
        </w:rPr>
        <w:t>Antaike</w:t>
      </w:r>
      <w:proofErr w:type="spellEnd"/>
      <w:r>
        <w:rPr>
          <w:rFonts w:ascii="Lato" w:hAnsi="Lato"/>
          <w:color w:val="000000"/>
          <w:sz w:val="23"/>
          <w:szCs w:val="23"/>
        </w:rPr>
        <w:t>, l’organisme public de recherche chinois, a toutefois invité les investisseurs à rester prudents, rappelant qu’il s’agit, pour l’instant, uniquement de pistes. Plusieurs négociants et analystes ont également appelé à ne pas surréagir, précisant qu’il s’agit vraisemblablement de projets sur le long terme.</w:t>
      </w:r>
    </w:p>
    <w:p w14:paraId="59414AA9" w14:textId="77777777" w:rsidR="003B2D7F" w:rsidRDefault="003B2D7F" w:rsidP="003B2D7F">
      <w:pPr>
        <w:pStyle w:val="NormalWeb"/>
        <w:shd w:val="clear" w:color="auto" w:fill="FFFFFF"/>
        <w:spacing w:before="75" w:beforeAutospacing="0" w:after="75" w:afterAutospacing="0"/>
        <w:jc w:val="both"/>
        <w:rPr>
          <w:rFonts w:ascii="Lato" w:hAnsi="Lato"/>
          <w:color w:val="000000"/>
          <w:sz w:val="23"/>
          <w:szCs w:val="23"/>
        </w:rPr>
      </w:pPr>
      <w:r>
        <w:rPr>
          <w:rFonts w:ascii="Lato" w:hAnsi="Lato"/>
          <w:color w:val="000000"/>
          <w:sz w:val="23"/>
          <w:szCs w:val="23"/>
        </w:rPr>
        <w:t>Sur une semaine, d’un mardi l’autre, le cours de référence du </w:t>
      </w:r>
      <w:r>
        <w:rPr>
          <w:rFonts w:ascii="Lato" w:hAnsi="Lato"/>
          <w:color w:val="000000"/>
          <w:sz w:val="23"/>
          <w:szCs w:val="23"/>
          <w:u w:val="single"/>
        </w:rPr>
        <w:t>cuivre</w:t>
      </w:r>
      <w:r>
        <w:rPr>
          <w:rFonts w:ascii="Lato" w:hAnsi="Lato"/>
          <w:color w:val="000000"/>
          <w:sz w:val="23"/>
          <w:szCs w:val="23"/>
        </w:rPr>
        <w:t> affiche un repli de quelque 350 dollars, à 13.059 dollars.</w:t>
      </w:r>
    </w:p>
    <w:p w14:paraId="38DA238A" w14:textId="77777777" w:rsidR="003B2D7F" w:rsidRDefault="003B2D7F" w:rsidP="003B2D7F">
      <w:pPr>
        <w:pStyle w:val="NormalWeb"/>
        <w:shd w:val="clear" w:color="auto" w:fill="FFFFFF"/>
        <w:spacing w:before="75" w:beforeAutospacing="0" w:after="75" w:afterAutospacing="0"/>
        <w:jc w:val="both"/>
        <w:rPr>
          <w:rFonts w:ascii="Lato" w:hAnsi="Lato"/>
          <w:color w:val="000000"/>
          <w:sz w:val="23"/>
          <w:szCs w:val="23"/>
        </w:rPr>
      </w:pPr>
      <w:r>
        <w:rPr>
          <w:rFonts w:ascii="Lato" w:hAnsi="Lato"/>
          <w:color w:val="000000"/>
          <w:sz w:val="23"/>
          <w:szCs w:val="23"/>
        </w:rPr>
        <w:t>Côté </w:t>
      </w:r>
      <w:r>
        <w:rPr>
          <w:rFonts w:ascii="Lato" w:hAnsi="Lato"/>
          <w:color w:val="000000"/>
          <w:sz w:val="23"/>
          <w:szCs w:val="23"/>
          <w:u w:val="single"/>
        </w:rPr>
        <w:t>nickel</w:t>
      </w:r>
      <w:r>
        <w:rPr>
          <w:rFonts w:ascii="Lato" w:hAnsi="Lato"/>
          <w:color w:val="000000"/>
          <w:sz w:val="23"/>
          <w:szCs w:val="23"/>
        </w:rPr>
        <w:t xml:space="preserve">, Goldman Sachs et </w:t>
      </w:r>
      <w:proofErr w:type="spellStart"/>
      <w:r>
        <w:rPr>
          <w:rFonts w:ascii="Lato" w:hAnsi="Lato"/>
          <w:color w:val="000000"/>
          <w:sz w:val="23"/>
          <w:szCs w:val="23"/>
        </w:rPr>
        <w:t>Macquarie</w:t>
      </w:r>
      <w:proofErr w:type="spellEnd"/>
      <w:r>
        <w:rPr>
          <w:rFonts w:ascii="Lato" w:hAnsi="Lato"/>
          <w:color w:val="000000"/>
          <w:sz w:val="23"/>
          <w:szCs w:val="23"/>
        </w:rPr>
        <w:t xml:space="preserve"> ont relevé leurs prévisions de moyennes de cours pour 2026 au-dessus de 17.000 dollars la tonne. Les deux banques ont justifié leur décision par le resserrement de l’offre en Indonésie. Sur une semaine, le Métal du Diable abandonne toutefois 170 dollars, à 17.205 dollars.</w:t>
      </w:r>
    </w:p>
    <w:p w14:paraId="23923F6C" w14:textId="77777777" w:rsidR="003B2D7F" w:rsidRDefault="003B2D7F" w:rsidP="003B2D7F">
      <w:pPr>
        <w:pStyle w:val="NormalWeb"/>
        <w:shd w:val="clear" w:color="auto" w:fill="FFFFFF"/>
        <w:spacing w:before="75" w:beforeAutospacing="0" w:after="75" w:afterAutospacing="0"/>
        <w:jc w:val="both"/>
        <w:rPr>
          <w:rFonts w:ascii="Lato" w:hAnsi="Lato"/>
          <w:color w:val="000000"/>
          <w:sz w:val="23"/>
          <w:szCs w:val="23"/>
        </w:rPr>
      </w:pPr>
      <w:r>
        <w:rPr>
          <w:rFonts w:ascii="Lato" w:hAnsi="Lato"/>
          <w:color w:val="000000"/>
          <w:sz w:val="23"/>
          <w:szCs w:val="23"/>
        </w:rPr>
        <w:t>Les autres métaux évoluent dans des fourchettes peu significatives. L’</w:t>
      </w:r>
      <w:r>
        <w:rPr>
          <w:rFonts w:ascii="Lato" w:hAnsi="Lato"/>
          <w:color w:val="000000"/>
          <w:sz w:val="23"/>
          <w:szCs w:val="23"/>
          <w:u w:val="single"/>
        </w:rPr>
        <w:t>aluminium</w:t>
      </w:r>
      <w:r>
        <w:rPr>
          <w:rFonts w:ascii="Lato" w:hAnsi="Lato"/>
          <w:color w:val="000000"/>
          <w:sz w:val="23"/>
          <w:szCs w:val="23"/>
        </w:rPr>
        <w:t> est stable autour des 3.100 dollars, </w:t>
      </w:r>
      <w:r>
        <w:rPr>
          <w:rStyle w:val="Accentuation"/>
          <w:rFonts w:ascii="Lato" w:eastAsiaTheme="majorEastAsia" w:hAnsi="Lato"/>
          <w:color w:val="000000"/>
          <w:sz w:val="23"/>
          <w:szCs w:val="23"/>
        </w:rPr>
        <w:t>idem </w:t>
      </w:r>
      <w:r>
        <w:rPr>
          <w:rFonts w:ascii="Lato" w:hAnsi="Lato"/>
          <w:color w:val="000000"/>
          <w:sz w:val="23"/>
          <w:szCs w:val="23"/>
        </w:rPr>
        <w:t>pour le </w:t>
      </w:r>
      <w:r>
        <w:rPr>
          <w:rFonts w:ascii="Lato" w:hAnsi="Lato"/>
          <w:color w:val="000000"/>
          <w:sz w:val="23"/>
          <w:szCs w:val="23"/>
          <w:u w:val="single"/>
        </w:rPr>
        <w:t>plomb</w:t>
      </w:r>
      <w:r>
        <w:rPr>
          <w:rFonts w:ascii="Lato" w:hAnsi="Lato"/>
          <w:color w:val="000000"/>
          <w:sz w:val="23"/>
          <w:szCs w:val="23"/>
        </w:rPr>
        <w:t>, autour des 1.970 dollars, et le </w:t>
      </w:r>
      <w:r>
        <w:rPr>
          <w:rFonts w:ascii="Lato" w:hAnsi="Lato"/>
          <w:color w:val="000000"/>
          <w:sz w:val="23"/>
          <w:szCs w:val="23"/>
          <w:u w:val="single"/>
        </w:rPr>
        <w:t>zinc</w:t>
      </w:r>
      <w:r>
        <w:rPr>
          <w:rFonts w:ascii="Lato" w:hAnsi="Lato"/>
          <w:color w:val="000000"/>
          <w:sz w:val="23"/>
          <w:szCs w:val="23"/>
        </w:rPr>
        <w:t>, autour des 3.360 dollars. L’</w:t>
      </w:r>
      <w:r>
        <w:rPr>
          <w:rFonts w:ascii="Lato" w:hAnsi="Lato"/>
          <w:color w:val="000000"/>
          <w:sz w:val="23"/>
          <w:szCs w:val="23"/>
          <w:u w:val="single"/>
        </w:rPr>
        <w:t>étain</w:t>
      </w:r>
      <w:r>
        <w:rPr>
          <w:rFonts w:ascii="Lato" w:hAnsi="Lato"/>
          <w:color w:val="000000"/>
          <w:sz w:val="23"/>
          <w:szCs w:val="23"/>
        </w:rPr>
        <w:t> subit quelques prises de bénéfices, à 48.655 dollars (-145 dollars). Les </w:t>
      </w:r>
      <w:r>
        <w:rPr>
          <w:rFonts w:ascii="Lato" w:hAnsi="Lato"/>
          <w:color w:val="000000"/>
          <w:sz w:val="23"/>
          <w:szCs w:val="23"/>
          <w:u w:val="single"/>
        </w:rPr>
        <w:t>précieux</w:t>
      </w:r>
      <w:r>
        <w:rPr>
          <w:rFonts w:ascii="Lato" w:hAnsi="Lato"/>
          <w:color w:val="000000"/>
          <w:sz w:val="23"/>
          <w:szCs w:val="23"/>
        </w:rPr>
        <w:t> consolident leurs positions.</w:t>
      </w:r>
    </w:p>
    <w:p w14:paraId="5B778810" w14:textId="77777777" w:rsidR="00E8762E" w:rsidRDefault="00E8762E"/>
    <w:sectPr w:rsidR="00E876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D7F"/>
    <w:rsid w:val="002547E7"/>
    <w:rsid w:val="003B2D7F"/>
    <w:rsid w:val="005A5D0A"/>
    <w:rsid w:val="00E8762E"/>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6404"/>
  <w15:chartTrackingRefBased/>
  <w15:docId w15:val="{23B41E1A-B2C3-4A10-96B7-46D381F5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B2D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B2D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B2D7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B2D7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B2D7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B2D7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B2D7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B2D7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B2D7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2D7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B2D7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B2D7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B2D7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B2D7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B2D7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B2D7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B2D7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B2D7F"/>
    <w:rPr>
      <w:rFonts w:eastAsiaTheme="majorEastAsia" w:cstheme="majorBidi"/>
      <w:color w:val="272727" w:themeColor="text1" w:themeTint="D8"/>
    </w:rPr>
  </w:style>
  <w:style w:type="paragraph" w:styleId="Titre">
    <w:name w:val="Title"/>
    <w:basedOn w:val="Normal"/>
    <w:next w:val="Normal"/>
    <w:link w:val="TitreCar"/>
    <w:uiPriority w:val="10"/>
    <w:qFormat/>
    <w:rsid w:val="003B2D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B2D7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B2D7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B2D7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B2D7F"/>
    <w:pPr>
      <w:spacing w:before="160"/>
      <w:jc w:val="center"/>
    </w:pPr>
    <w:rPr>
      <w:i/>
      <w:iCs/>
      <w:color w:val="404040" w:themeColor="text1" w:themeTint="BF"/>
    </w:rPr>
  </w:style>
  <w:style w:type="character" w:customStyle="1" w:styleId="CitationCar">
    <w:name w:val="Citation Car"/>
    <w:basedOn w:val="Policepardfaut"/>
    <w:link w:val="Citation"/>
    <w:uiPriority w:val="29"/>
    <w:rsid w:val="003B2D7F"/>
    <w:rPr>
      <w:i/>
      <w:iCs/>
      <w:color w:val="404040" w:themeColor="text1" w:themeTint="BF"/>
    </w:rPr>
  </w:style>
  <w:style w:type="paragraph" w:styleId="Paragraphedeliste">
    <w:name w:val="List Paragraph"/>
    <w:basedOn w:val="Normal"/>
    <w:uiPriority w:val="34"/>
    <w:qFormat/>
    <w:rsid w:val="003B2D7F"/>
    <w:pPr>
      <w:ind w:left="720"/>
      <w:contextualSpacing/>
    </w:pPr>
  </w:style>
  <w:style w:type="character" w:styleId="Accentuationintense">
    <w:name w:val="Intense Emphasis"/>
    <w:basedOn w:val="Policepardfaut"/>
    <w:uiPriority w:val="21"/>
    <w:qFormat/>
    <w:rsid w:val="003B2D7F"/>
    <w:rPr>
      <w:i/>
      <w:iCs/>
      <w:color w:val="0F4761" w:themeColor="accent1" w:themeShade="BF"/>
    </w:rPr>
  </w:style>
  <w:style w:type="paragraph" w:styleId="Citationintense">
    <w:name w:val="Intense Quote"/>
    <w:basedOn w:val="Normal"/>
    <w:next w:val="Normal"/>
    <w:link w:val="CitationintenseCar"/>
    <w:uiPriority w:val="30"/>
    <w:qFormat/>
    <w:rsid w:val="003B2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B2D7F"/>
    <w:rPr>
      <w:i/>
      <w:iCs/>
      <w:color w:val="0F4761" w:themeColor="accent1" w:themeShade="BF"/>
    </w:rPr>
  </w:style>
  <w:style w:type="character" w:styleId="Rfrenceintense">
    <w:name w:val="Intense Reference"/>
    <w:basedOn w:val="Policepardfaut"/>
    <w:uiPriority w:val="32"/>
    <w:qFormat/>
    <w:rsid w:val="003B2D7F"/>
    <w:rPr>
      <w:b/>
      <w:bCs/>
      <w:smallCaps/>
      <w:color w:val="0F4761" w:themeColor="accent1" w:themeShade="BF"/>
      <w:spacing w:val="5"/>
    </w:rPr>
  </w:style>
  <w:style w:type="paragraph" w:styleId="NormalWeb">
    <w:name w:val="Normal (Web)"/>
    <w:basedOn w:val="Normal"/>
    <w:uiPriority w:val="99"/>
    <w:semiHidden/>
    <w:unhideWhenUsed/>
    <w:rsid w:val="003B2D7F"/>
    <w:pPr>
      <w:spacing w:before="100" w:beforeAutospacing="1" w:after="100" w:afterAutospacing="1" w:line="240" w:lineRule="auto"/>
    </w:pPr>
    <w:rPr>
      <w:rFonts w:ascii="Times New Roman" w:eastAsia="Times New Roman" w:hAnsi="Times New Roman" w:cs="Times New Roman"/>
      <w:kern w:val="0"/>
      <w:lang w:eastAsia="fr-BE"/>
      <w14:ligatures w14:val="none"/>
    </w:rPr>
  </w:style>
  <w:style w:type="character" w:styleId="Accentuation">
    <w:name w:val="Emphasis"/>
    <w:basedOn w:val="Policepardfaut"/>
    <w:uiPriority w:val="20"/>
    <w:qFormat/>
    <w:rsid w:val="003B2D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3312</Characters>
  <Application>Microsoft Office Word</Application>
  <DocSecurity>0</DocSecurity>
  <Lines>27</Lines>
  <Paragraphs>7</Paragraphs>
  <ScaleCrop>false</ScaleCrop>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2026-02-13T13:11:00Z</dcterms:created>
  <dcterms:modified xsi:type="dcterms:W3CDTF">2026-02-13T13:12:00Z</dcterms:modified>
</cp:coreProperties>
</file>